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D55" w:rsidRDefault="00761D55" w:rsidP="00761D55">
      <w:pPr>
        <w:jc w:val="both"/>
        <w:rPr>
          <w:rFonts w:ascii="Arial" w:hAnsi="Arial" w:cs="Arial"/>
          <w:b/>
          <w:bCs/>
          <w:color w:val="333333"/>
          <w:sz w:val="21"/>
          <w:szCs w:val="21"/>
          <w:u w:val="single"/>
          <w:lang w:val="en-US" w:eastAsia="bg-BG"/>
        </w:rPr>
      </w:pPr>
      <w:proofErr w:type="spellStart"/>
      <w:r>
        <w:rPr>
          <w:rFonts w:ascii="Arial" w:hAnsi="Arial" w:cs="Arial"/>
          <w:b/>
          <w:bCs/>
          <w:color w:val="333333"/>
          <w:sz w:val="21"/>
          <w:szCs w:val="21"/>
          <w:u w:val="single"/>
          <w:lang w:eastAsia="bg-BG"/>
        </w:rPr>
        <w:t>Question</w:t>
      </w:r>
      <w:proofErr w:type="spellEnd"/>
      <w:r>
        <w:rPr>
          <w:rFonts w:ascii="Arial" w:hAnsi="Arial" w:cs="Arial"/>
          <w:b/>
          <w:bCs/>
          <w:color w:val="333333"/>
          <w:sz w:val="21"/>
          <w:szCs w:val="21"/>
          <w:u w:val="single"/>
          <w:lang w:val="en-US" w:eastAsia="bg-BG"/>
        </w:rPr>
        <w:t>:</w:t>
      </w:r>
    </w:p>
    <w:p w:rsidR="00761D55" w:rsidRDefault="00761D55" w:rsidP="00761D55">
      <w:pPr>
        <w:spacing w:before="150"/>
        <w:jc w:val="both"/>
        <w:rPr>
          <w:rFonts w:ascii="Arial" w:hAnsi="Arial" w:cs="Arial"/>
          <w:color w:val="333333"/>
          <w:sz w:val="21"/>
          <w:szCs w:val="21"/>
          <w:lang w:eastAsia="bg-BG"/>
        </w:rPr>
      </w:pPr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I.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With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view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correct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interpretation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definition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undertaking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difficulty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when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undertaking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not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a SME,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we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would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grateful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receive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some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clarifications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from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EC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on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questions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below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related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provisions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art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. 2,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para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. 18 (d) of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Regulation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(EC) № 651/2014 of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>.</w:t>
      </w:r>
    </w:p>
    <w:p w:rsidR="00761D55" w:rsidRDefault="00761D55" w:rsidP="00761D55">
      <w:pPr>
        <w:spacing w:before="150"/>
        <w:jc w:val="both"/>
        <w:rPr>
          <w:rFonts w:ascii="Arial" w:hAnsi="Arial" w:cs="Arial"/>
          <w:color w:val="333333"/>
          <w:sz w:val="21"/>
          <w:szCs w:val="21"/>
          <w:lang w:eastAsia="bg-BG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particular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we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would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like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receive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some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more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clarity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on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following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sentence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above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provision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“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ratio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between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own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capital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undertaking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not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exceed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7.5”.</w:t>
      </w:r>
    </w:p>
    <w:p w:rsidR="00761D55" w:rsidRDefault="00761D55" w:rsidP="00761D55">
      <w:pPr>
        <w:spacing w:before="150"/>
        <w:jc w:val="both"/>
        <w:rPr>
          <w:rFonts w:ascii="Arial" w:hAnsi="Arial" w:cs="Arial"/>
          <w:color w:val="333333"/>
          <w:sz w:val="21"/>
          <w:szCs w:val="21"/>
          <w:lang w:eastAsia="bg-BG"/>
        </w:rPr>
      </w:pPr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Balance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sheet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respectiv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  <w:lang w:eastAsia="bg-BG"/>
        </w:rPr>
        <w:t>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undertaking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shall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include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>: </w:t>
      </w:r>
    </w:p>
    <w:p w:rsidR="00761D55" w:rsidRDefault="00761D55" w:rsidP="00761D55">
      <w:pPr>
        <w:spacing w:before="150"/>
        <w:jc w:val="both"/>
        <w:rPr>
          <w:rFonts w:ascii="Arial" w:hAnsi="Arial" w:cs="Arial"/>
          <w:color w:val="333333"/>
          <w:sz w:val="21"/>
          <w:szCs w:val="21"/>
          <w:lang w:eastAsia="bg-BG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Section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В.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Liabilities</w:t>
      </w:r>
      <w:proofErr w:type="spellEnd"/>
    </w:p>
    <w:p w:rsidR="00761D55" w:rsidRDefault="00761D55" w:rsidP="00761D55">
      <w:pPr>
        <w:spacing w:before="150"/>
        <w:jc w:val="both"/>
        <w:rPr>
          <w:rFonts w:ascii="Arial" w:hAnsi="Arial" w:cs="Arial"/>
          <w:color w:val="333333"/>
          <w:sz w:val="21"/>
          <w:szCs w:val="21"/>
          <w:lang w:eastAsia="bg-BG"/>
        </w:rPr>
      </w:pPr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I.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Bond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loans</w:t>
      </w:r>
      <w:proofErr w:type="spellEnd"/>
    </w:p>
    <w:p w:rsidR="00761D55" w:rsidRDefault="00761D55" w:rsidP="00761D55">
      <w:pPr>
        <w:spacing w:before="150"/>
        <w:jc w:val="both"/>
        <w:rPr>
          <w:rFonts w:ascii="Arial" w:hAnsi="Arial" w:cs="Arial"/>
          <w:color w:val="333333"/>
          <w:sz w:val="21"/>
          <w:szCs w:val="21"/>
          <w:lang w:eastAsia="bg-BG"/>
        </w:rPr>
      </w:pPr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II.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financial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entities</w:t>
      </w:r>
      <w:proofErr w:type="spellEnd"/>
    </w:p>
    <w:p w:rsidR="00761D55" w:rsidRDefault="00761D55" w:rsidP="00761D55">
      <w:pPr>
        <w:spacing w:before="150"/>
        <w:jc w:val="both"/>
        <w:rPr>
          <w:rFonts w:ascii="Arial" w:hAnsi="Arial" w:cs="Arial"/>
          <w:color w:val="333333"/>
          <w:sz w:val="21"/>
          <w:szCs w:val="21"/>
          <w:lang w:eastAsia="bg-BG"/>
        </w:rPr>
      </w:pPr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III. Advance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payments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received</w:t>
      </w:r>
      <w:proofErr w:type="spellEnd"/>
    </w:p>
    <w:p w:rsidR="00761D55" w:rsidRDefault="00761D55" w:rsidP="00761D55">
      <w:pPr>
        <w:spacing w:before="150"/>
        <w:jc w:val="both"/>
        <w:rPr>
          <w:rFonts w:ascii="Arial" w:hAnsi="Arial" w:cs="Arial"/>
          <w:color w:val="333333"/>
          <w:sz w:val="21"/>
          <w:szCs w:val="21"/>
          <w:lang w:eastAsia="bg-BG"/>
        </w:rPr>
      </w:pPr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IV.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suppliers</w:t>
      </w:r>
      <w:proofErr w:type="spellEnd"/>
    </w:p>
    <w:p w:rsidR="00761D55" w:rsidRDefault="00761D55" w:rsidP="00761D55">
      <w:pPr>
        <w:spacing w:before="150"/>
        <w:jc w:val="both"/>
        <w:rPr>
          <w:rFonts w:ascii="Arial" w:hAnsi="Arial" w:cs="Arial"/>
          <w:color w:val="333333"/>
          <w:sz w:val="21"/>
          <w:szCs w:val="21"/>
          <w:lang w:eastAsia="bg-BG"/>
        </w:rPr>
      </w:pPr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V. 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Promissory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notes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Payables</w:t>
      </w:r>
      <w:proofErr w:type="spellEnd"/>
    </w:p>
    <w:p w:rsidR="00761D55" w:rsidRDefault="00761D55" w:rsidP="00761D55">
      <w:pPr>
        <w:spacing w:before="150"/>
        <w:jc w:val="both"/>
        <w:rPr>
          <w:rFonts w:ascii="Arial" w:hAnsi="Arial" w:cs="Arial"/>
          <w:color w:val="333333"/>
          <w:sz w:val="21"/>
          <w:szCs w:val="21"/>
          <w:lang w:eastAsia="bg-BG"/>
        </w:rPr>
      </w:pPr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VI.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to group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undertakings</w:t>
      </w:r>
      <w:proofErr w:type="spellEnd"/>
    </w:p>
    <w:p w:rsidR="00761D55" w:rsidRDefault="00761D55" w:rsidP="00761D55">
      <w:pPr>
        <w:spacing w:before="150"/>
        <w:jc w:val="both"/>
        <w:rPr>
          <w:rFonts w:ascii="Arial" w:hAnsi="Arial" w:cs="Arial"/>
          <w:color w:val="333333"/>
          <w:sz w:val="21"/>
          <w:szCs w:val="21"/>
          <w:lang w:eastAsia="bg-BG"/>
        </w:rPr>
      </w:pPr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VII.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related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to Associates and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jointly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controlled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entities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undertakings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>)</w:t>
      </w:r>
    </w:p>
    <w:p w:rsidR="00761D55" w:rsidRDefault="00761D55" w:rsidP="00761D55">
      <w:pPr>
        <w:spacing w:before="150"/>
        <w:jc w:val="both"/>
        <w:rPr>
          <w:rFonts w:ascii="Arial" w:hAnsi="Arial" w:cs="Arial"/>
          <w:color w:val="333333"/>
          <w:sz w:val="21"/>
          <w:szCs w:val="21"/>
          <w:lang w:eastAsia="bg-BG"/>
        </w:rPr>
      </w:pPr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VIII.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Other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staff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social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security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payments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taxes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>) </w:t>
      </w:r>
    </w:p>
    <w:p w:rsidR="00761D55" w:rsidRDefault="00761D55" w:rsidP="00761D55">
      <w:pPr>
        <w:spacing w:before="150"/>
        <w:jc w:val="both"/>
        <w:rPr>
          <w:rFonts w:ascii="Arial" w:hAnsi="Arial" w:cs="Arial"/>
          <w:color w:val="333333"/>
          <w:sz w:val="21"/>
          <w:szCs w:val="21"/>
          <w:lang w:eastAsia="bg-BG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According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answers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available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on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ECN-ET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regarding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calculation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“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difficulty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”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large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undertakings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amount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calculated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book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value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short-term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long-term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financial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on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which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interest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payable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particular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such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include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financial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instruments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such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bank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loans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loan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capital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instruments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financial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lease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contracts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but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they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do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not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include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capital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taken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into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account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also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exclude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provisions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All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listed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above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Section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В of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category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balance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sheet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can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both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short-term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long-term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financial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can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subject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interest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>.</w:t>
      </w:r>
    </w:p>
    <w:p w:rsidR="00761D55" w:rsidRDefault="00761D55" w:rsidP="00761D55">
      <w:pPr>
        <w:spacing w:before="150"/>
        <w:jc w:val="both"/>
        <w:rPr>
          <w:rFonts w:ascii="Arial" w:hAnsi="Arial" w:cs="Arial"/>
          <w:color w:val="333333"/>
          <w:sz w:val="21"/>
          <w:szCs w:val="21"/>
          <w:lang w:eastAsia="bg-BG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We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would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like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ask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you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specify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if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process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calculation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ratio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between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owned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capital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all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above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such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bond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loans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financial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entities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advances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received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payments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suppliers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promissory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notes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Payables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related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to Associates and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jointly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controlled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entities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undertakings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),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staff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social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security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payments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tax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which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form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part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Section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B of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category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balance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sheet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are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taken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into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consideration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or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just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bond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loans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financial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entities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>. </w:t>
      </w:r>
    </w:p>
    <w:p w:rsidR="00761D55" w:rsidRDefault="00761D55" w:rsidP="00761D55">
      <w:pPr>
        <w:spacing w:before="150"/>
        <w:jc w:val="both"/>
        <w:rPr>
          <w:rFonts w:ascii="Arial" w:hAnsi="Arial" w:cs="Arial"/>
          <w:color w:val="333333"/>
          <w:sz w:val="21"/>
          <w:szCs w:val="21"/>
          <w:lang w:eastAsia="bg-BG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Option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1: 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= I + II + III + IV + V + VI + VII + VIII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or</w:t>
      </w:r>
      <w:proofErr w:type="spellEnd"/>
    </w:p>
    <w:p w:rsidR="00761D55" w:rsidRDefault="00761D55" w:rsidP="00761D55">
      <w:pPr>
        <w:spacing w:before="150"/>
        <w:jc w:val="both"/>
        <w:rPr>
          <w:rFonts w:ascii="Arial" w:hAnsi="Arial" w:cs="Arial"/>
          <w:color w:val="333333"/>
          <w:sz w:val="21"/>
          <w:szCs w:val="21"/>
          <w:lang w:eastAsia="bg-BG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Option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2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= I + II</w:t>
      </w:r>
    </w:p>
    <w:p w:rsidR="00761D55" w:rsidRDefault="00761D55" w:rsidP="00761D55">
      <w:pPr>
        <w:spacing w:before="150"/>
        <w:jc w:val="both"/>
        <w:rPr>
          <w:rFonts w:ascii="Arial" w:hAnsi="Arial" w:cs="Arial"/>
          <w:color w:val="333333"/>
          <w:sz w:val="21"/>
          <w:szCs w:val="21"/>
          <w:lang w:eastAsia="bg-BG"/>
        </w:rPr>
      </w:pPr>
      <w:r>
        <w:rPr>
          <w:rFonts w:ascii="Arial" w:hAnsi="Arial" w:cs="Arial"/>
          <w:color w:val="333333"/>
          <w:sz w:val="21"/>
          <w:szCs w:val="21"/>
          <w:lang w:eastAsia="bg-BG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balance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respective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undertaking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Section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А (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Owned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capital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includes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>:</w:t>
      </w:r>
    </w:p>
    <w:p w:rsidR="00761D55" w:rsidRDefault="00761D55" w:rsidP="00761D55">
      <w:pPr>
        <w:spacing w:before="150"/>
        <w:jc w:val="both"/>
        <w:rPr>
          <w:rFonts w:ascii="Arial" w:hAnsi="Arial" w:cs="Arial"/>
          <w:color w:val="333333"/>
          <w:sz w:val="21"/>
          <w:szCs w:val="21"/>
          <w:lang w:eastAsia="bg-BG"/>
        </w:rPr>
      </w:pPr>
      <w:r>
        <w:rPr>
          <w:rFonts w:ascii="Arial" w:hAnsi="Arial" w:cs="Arial"/>
          <w:color w:val="333333"/>
          <w:sz w:val="21"/>
          <w:szCs w:val="21"/>
          <w:lang w:eastAsia="bg-BG"/>
        </w:rPr>
        <w:t>A. (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Owned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capital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>)</w:t>
      </w:r>
    </w:p>
    <w:p w:rsidR="00761D55" w:rsidRDefault="00761D55" w:rsidP="00761D55">
      <w:pPr>
        <w:spacing w:before="150"/>
        <w:jc w:val="both"/>
        <w:rPr>
          <w:rFonts w:ascii="Arial" w:hAnsi="Arial" w:cs="Arial"/>
          <w:color w:val="333333"/>
          <w:sz w:val="21"/>
          <w:szCs w:val="21"/>
          <w:lang w:eastAsia="bg-BG"/>
        </w:rPr>
      </w:pPr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I.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Subscribed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capital</w:t>
      </w:r>
      <w:proofErr w:type="spellEnd"/>
    </w:p>
    <w:p w:rsidR="00761D55" w:rsidRDefault="00761D55" w:rsidP="00761D55">
      <w:pPr>
        <w:spacing w:before="150"/>
        <w:jc w:val="both"/>
        <w:rPr>
          <w:rFonts w:ascii="Arial" w:hAnsi="Arial" w:cs="Arial"/>
          <w:color w:val="333333"/>
          <w:sz w:val="21"/>
          <w:szCs w:val="21"/>
          <w:lang w:eastAsia="bg-BG"/>
        </w:rPr>
      </w:pPr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II.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Share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premium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account</w:t>
      </w:r>
      <w:proofErr w:type="spellEnd"/>
    </w:p>
    <w:p w:rsidR="00761D55" w:rsidRDefault="00761D55" w:rsidP="00761D55">
      <w:pPr>
        <w:spacing w:before="150"/>
        <w:jc w:val="both"/>
        <w:rPr>
          <w:rFonts w:ascii="Arial" w:hAnsi="Arial" w:cs="Arial"/>
          <w:color w:val="333333"/>
          <w:sz w:val="21"/>
          <w:szCs w:val="21"/>
          <w:lang w:eastAsia="bg-BG"/>
        </w:rPr>
      </w:pPr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III.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Revaluation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reserve</w:t>
      </w:r>
      <w:proofErr w:type="spellEnd"/>
    </w:p>
    <w:p w:rsidR="00761D55" w:rsidRDefault="00761D55" w:rsidP="00761D55">
      <w:pPr>
        <w:spacing w:before="150"/>
        <w:jc w:val="both"/>
        <w:rPr>
          <w:rFonts w:ascii="Arial" w:hAnsi="Arial" w:cs="Arial"/>
          <w:color w:val="333333"/>
          <w:sz w:val="21"/>
          <w:szCs w:val="21"/>
          <w:lang w:eastAsia="bg-BG"/>
        </w:rPr>
      </w:pPr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IV.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Reserves</w:t>
      </w:r>
      <w:proofErr w:type="spellEnd"/>
    </w:p>
    <w:p w:rsidR="00761D55" w:rsidRDefault="00761D55" w:rsidP="00761D55">
      <w:pPr>
        <w:spacing w:before="150"/>
        <w:jc w:val="both"/>
        <w:rPr>
          <w:rFonts w:ascii="Arial" w:hAnsi="Arial" w:cs="Arial"/>
          <w:color w:val="333333"/>
          <w:sz w:val="21"/>
          <w:szCs w:val="21"/>
          <w:lang w:eastAsia="bg-BG"/>
        </w:rPr>
      </w:pPr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1.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Legal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reserves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>.</w:t>
      </w:r>
    </w:p>
    <w:p w:rsidR="00761D55" w:rsidRDefault="00761D55" w:rsidP="00761D55">
      <w:pPr>
        <w:spacing w:before="150"/>
        <w:jc w:val="both"/>
        <w:rPr>
          <w:rFonts w:ascii="Arial" w:hAnsi="Arial" w:cs="Arial"/>
          <w:color w:val="333333"/>
          <w:sz w:val="21"/>
          <w:szCs w:val="21"/>
          <w:lang w:eastAsia="bg-BG"/>
        </w:rPr>
      </w:pPr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2.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Reserve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related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purchased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own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shares</w:t>
      </w:r>
      <w:proofErr w:type="spellEnd"/>
    </w:p>
    <w:p w:rsidR="00761D55" w:rsidRDefault="00761D55" w:rsidP="00761D55">
      <w:pPr>
        <w:spacing w:before="150"/>
        <w:jc w:val="both"/>
        <w:rPr>
          <w:rFonts w:ascii="Arial" w:hAnsi="Arial" w:cs="Arial"/>
          <w:color w:val="333333"/>
          <w:sz w:val="21"/>
          <w:szCs w:val="21"/>
          <w:lang w:eastAsia="bg-BG"/>
        </w:rPr>
      </w:pPr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3.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Reserves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according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articles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association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>.</w:t>
      </w:r>
    </w:p>
    <w:p w:rsidR="00761D55" w:rsidRDefault="00761D55" w:rsidP="00761D55">
      <w:pPr>
        <w:spacing w:before="150"/>
        <w:jc w:val="both"/>
        <w:rPr>
          <w:rFonts w:ascii="Arial" w:hAnsi="Arial" w:cs="Arial"/>
          <w:color w:val="333333"/>
          <w:sz w:val="21"/>
          <w:szCs w:val="21"/>
          <w:lang w:eastAsia="bg-BG"/>
        </w:rPr>
      </w:pPr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4.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Other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reserves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>.</w:t>
      </w:r>
    </w:p>
    <w:p w:rsidR="00761D55" w:rsidRDefault="00761D55" w:rsidP="00761D55">
      <w:pPr>
        <w:spacing w:before="150"/>
        <w:jc w:val="both"/>
        <w:rPr>
          <w:rFonts w:ascii="Arial" w:hAnsi="Arial" w:cs="Arial"/>
          <w:color w:val="333333"/>
          <w:sz w:val="21"/>
          <w:szCs w:val="21"/>
          <w:lang w:eastAsia="bg-BG"/>
        </w:rPr>
      </w:pPr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V.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Accumulated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profit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loss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from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previous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years</w:t>
      </w:r>
      <w:proofErr w:type="spellEnd"/>
    </w:p>
    <w:p w:rsidR="00761D55" w:rsidRDefault="00761D55" w:rsidP="00761D55">
      <w:pPr>
        <w:spacing w:before="150"/>
        <w:jc w:val="both"/>
        <w:rPr>
          <w:rFonts w:ascii="Arial" w:hAnsi="Arial" w:cs="Arial"/>
          <w:color w:val="333333"/>
          <w:sz w:val="21"/>
          <w:szCs w:val="21"/>
          <w:lang w:eastAsia="bg-BG"/>
        </w:rPr>
      </w:pPr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VI.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Current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profit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loss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>).</w:t>
      </w:r>
    </w:p>
    <w:p w:rsidR="00761D55" w:rsidRDefault="00761D55" w:rsidP="00761D55">
      <w:pPr>
        <w:spacing w:before="150"/>
        <w:jc w:val="both"/>
        <w:rPr>
          <w:rFonts w:ascii="Arial" w:hAnsi="Arial" w:cs="Arial"/>
          <w:color w:val="333333"/>
          <w:sz w:val="21"/>
          <w:szCs w:val="21"/>
          <w:lang w:eastAsia="bg-BG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lastRenderedPageBreak/>
        <w:t>According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another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answer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published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on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ECN-ET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with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respect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calculations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concerning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large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undertakings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difficulty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owned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capital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includes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share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capital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share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premiums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capital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reserves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undistributed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profit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but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excludes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however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any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subsidies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provisions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>.</w:t>
      </w:r>
    </w:p>
    <w:p w:rsidR="00761D55" w:rsidRDefault="00761D55" w:rsidP="00761D55">
      <w:pPr>
        <w:spacing w:before="150"/>
        <w:jc w:val="both"/>
        <w:rPr>
          <w:rFonts w:ascii="Arial" w:hAnsi="Arial" w:cs="Arial"/>
          <w:color w:val="333333"/>
          <w:sz w:val="21"/>
          <w:szCs w:val="21"/>
          <w:lang w:eastAsia="bg-BG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regards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correct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calculation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value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subscribed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capital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we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would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like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ask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you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following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are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all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kinds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reserves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such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: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revaluation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reserve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legal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reserves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reserves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with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purchasing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own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shares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reserves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according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articles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association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other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reserves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included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proper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calculation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owned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capital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?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Are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accumulated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profits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losses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from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previous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years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current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profit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loss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included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owned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capital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>? </w:t>
      </w:r>
    </w:p>
    <w:p w:rsidR="00761D55" w:rsidRDefault="00761D55" w:rsidP="00761D55">
      <w:pPr>
        <w:spacing w:before="150"/>
        <w:jc w:val="both"/>
        <w:rPr>
          <w:rFonts w:ascii="Arial" w:hAnsi="Arial" w:cs="Arial"/>
          <w:color w:val="333333"/>
          <w:sz w:val="21"/>
          <w:szCs w:val="21"/>
          <w:lang w:eastAsia="bg-BG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case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none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above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options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correct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approach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determining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whether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large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undertaking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difficulty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or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not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we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would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highly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appreciate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if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you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provide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us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with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additional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instructions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regarding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interpretation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above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provision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regulation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and a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specific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formula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calculation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>.</w:t>
      </w:r>
    </w:p>
    <w:p w:rsidR="00761D55" w:rsidRDefault="00761D55" w:rsidP="00761D55">
      <w:pPr>
        <w:spacing w:before="150"/>
        <w:jc w:val="both"/>
        <w:rPr>
          <w:rFonts w:ascii="Arial" w:hAnsi="Arial" w:cs="Arial"/>
          <w:color w:val="333333"/>
          <w:sz w:val="21"/>
          <w:szCs w:val="21"/>
          <w:lang w:eastAsia="bg-BG"/>
        </w:rPr>
      </w:pPr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II.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purpose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calculating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EBITDA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please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confirm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we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not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include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incomes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from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other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investments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loans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recognized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non-current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(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long-term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assets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part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financial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revenues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total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amount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operating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revenues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previous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reply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on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EBITDA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calculation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EC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referred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only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cash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dividends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received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from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investments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accounted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under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equity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method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included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>.</w:t>
      </w:r>
    </w:p>
    <w:p w:rsidR="00761D55" w:rsidRDefault="00761D55" w:rsidP="00761D55">
      <w:pPr>
        <w:spacing w:before="150"/>
        <w:jc w:val="both"/>
        <w:rPr>
          <w:rFonts w:ascii="Arial" w:hAnsi="Arial" w:cs="Arial"/>
          <w:color w:val="333333"/>
          <w:sz w:val="21"/>
          <w:szCs w:val="21"/>
          <w:lang w:eastAsia="bg-BG"/>
        </w:rPr>
      </w:pP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We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would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very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grateful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if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European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Commission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services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could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provide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us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with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> 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answers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questions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above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nearest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possible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  <w:lang w:eastAsia="bg-BG"/>
        </w:rPr>
        <w:t>time</w:t>
      </w:r>
      <w:proofErr w:type="spellEnd"/>
      <w:r>
        <w:rPr>
          <w:rFonts w:ascii="Arial" w:hAnsi="Arial" w:cs="Arial"/>
          <w:color w:val="333333"/>
          <w:sz w:val="21"/>
          <w:szCs w:val="21"/>
          <w:lang w:eastAsia="bg-BG"/>
        </w:rPr>
        <w:t>.</w:t>
      </w:r>
    </w:p>
    <w:p w:rsidR="00761D55" w:rsidRDefault="00761D55" w:rsidP="00761D55">
      <w:pPr>
        <w:jc w:val="both"/>
      </w:pPr>
    </w:p>
    <w:p w:rsidR="00761D55" w:rsidRDefault="00761D55" w:rsidP="00761D55">
      <w:pPr>
        <w:pStyle w:val="NormalWeb"/>
        <w:jc w:val="both"/>
        <w:rPr>
          <w:rFonts w:ascii="Arial" w:hAnsi="Arial" w:cs="Arial"/>
          <w:b/>
          <w:bCs/>
          <w:color w:val="333333"/>
          <w:sz w:val="21"/>
          <w:szCs w:val="21"/>
          <w:u w:val="single"/>
          <w:lang w:val="en-US"/>
        </w:rPr>
      </w:pPr>
      <w:r>
        <w:rPr>
          <w:rFonts w:ascii="Arial" w:hAnsi="Arial" w:cs="Arial"/>
          <w:b/>
          <w:bCs/>
          <w:color w:val="333333"/>
          <w:sz w:val="21"/>
          <w:szCs w:val="21"/>
          <w:u w:val="single"/>
          <w:lang w:val="en-US"/>
        </w:rPr>
        <w:t>Reply:</w:t>
      </w:r>
    </w:p>
    <w:p w:rsidR="00761D55" w:rsidRDefault="00761D55" w:rsidP="00761D55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"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debt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"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understood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book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value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interest-bearing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short-term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long-term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financial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include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items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bank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loans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debt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capital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market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instruments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(e.g.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bonds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leases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principle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exclude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short-term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obligations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such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accounts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payable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other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accrued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because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regarded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credit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rather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incurrence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long-term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debt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However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extent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company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defers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payment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beyond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term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customary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supply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chain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amount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may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added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debt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761D55" w:rsidRDefault="00761D55" w:rsidP="00761D55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Applying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above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general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rule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above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example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>:</w:t>
      </w:r>
    </w:p>
    <w:p w:rsidR="00761D55" w:rsidRDefault="00761D55" w:rsidP="00761D55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Bonds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loans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(I) and (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interest-bearing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financial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(II)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clearly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considered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debt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Advance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payments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received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(III)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constitute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accrued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liability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included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debt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calculation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suppliers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(IV)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promissory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payable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(V)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constitute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accounts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payable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therefore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added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debt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unless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payment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terms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go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beyond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what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considered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normal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industry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concerned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subsidiaries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associates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(VI and VII),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extent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constitute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trade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included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debt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other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hand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financial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(e.g.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intra-group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loans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included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debt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where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appropriate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after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consolidation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adjustments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Other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(VIII)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considered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case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basis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staff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(e.g.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wages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)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principle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included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debt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whereas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e.g.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recognised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workers'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compensation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obligations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or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share-based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arrangements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payable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cash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added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debt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.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Social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security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tax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liabilities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should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principle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not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be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included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debt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unless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they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are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subject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to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debt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settlement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761D55" w:rsidRDefault="00761D55" w:rsidP="00761D55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761D55" w:rsidRDefault="00761D55" w:rsidP="00761D55">
      <w:pPr>
        <w:pStyle w:val="NormalWeb"/>
        <w:jc w:val="both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Disclaimer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: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This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reply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does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not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represent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a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formal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 and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definite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position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European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Commission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but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only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an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informal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guidance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provided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by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services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of DG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Competition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 to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facilitate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application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of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GBER.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It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is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therefore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not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binding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and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cannot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create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legal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certainty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or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 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legitimate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> </w:t>
      </w:r>
      <w:proofErr w:type="spellStart"/>
      <w:r>
        <w:rPr>
          <w:rStyle w:val="Emphasis"/>
          <w:rFonts w:ascii="Arial" w:hAnsi="Arial" w:cs="Arial"/>
          <w:color w:val="333333"/>
          <w:sz w:val="21"/>
          <w:szCs w:val="21"/>
        </w:rPr>
        <w:t>expectations</w:t>
      </w:r>
      <w:proofErr w:type="spellEnd"/>
      <w:r>
        <w:rPr>
          <w:rStyle w:val="Emphasis"/>
          <w:rFonts w:ascii="Arial" w:hAnsi="Arial" w:cs="Arial"/>
          <w:color w:val="333333"/>
          <w:sz w:val="21"/>
          <w:szCs w:val="21"/>
        </w:rPr>
        <w:t xml:space="preserve">. </w:t>
      </w:r>
    </w:p>
    <w:p w:rsidR="00761D55" w:rsidRDefault="00761D55" w:rsidP="00761D55">
      <w:pPr>
        <w:jc w:val="both"/>
      </w:pPr>
    </w:p>
    <w:p w:rsidR="00AC2A6A" w:rsidRDefault="00AC2A6A" w:rsidP="00761D55">
      <w:pPr>
        <w:jc w:val="both"/>
      </w:pPr>
    </w:p>
    <w:sectPr w:rsidR="00AC2A6A" w:rsidSect="00761D55">
      <w:pgSz w:w="11906" w:h="16838"/>
      <w:pgMar w:top="709" w:right="849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0E6"/>
    <w:rsid w:val="00221E3F"/>
    <w:rsid w:val="002740E6"/>
    <w:rsid w:val="00517436"/>
    <w:rsid w:val="005314FC"/>
    <w:rsid w:val="00593E86"/>
    <w:rsid w:val="005C3602"/>
    <w:rsid w:val="0064124D"/>
    <w:rsid w:val="00761D55"/>
    <w:rsid w:val="0091503B"/>
    <w:rsid w:val="00AC2A6A"/>
    <w:rsid w:val="00CA04BA"/>
    <w:rsid w:val="00D24972"/>
    <w:rsid w:val="00D45754"/>
    <w:rsid w:val="00D53A42"/>
    <w:rsid w:val="00D73809"/>
    <w:rsid w:val="00DC4A07"/>
    <w:rsid w:val="00EC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D55"/>
    <w:pPr>
      <w:spacing w:before="150"/>
    </w:pPr>
    <w:rPr>
      <w:rFonts w:ascii="Times New Roman" w:hAnsi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761D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D5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1D55"/>
    <w:pPr>
      <w:spacing w:before="150"/>
    </w:pPr>
    <w:rPr>
      <w:rFonts w:ascii="Times New Roman" w:hAnsi="Times New Roman"/>
      <w:sz w:val="24"/>
      <w:szCs w:val="24"/>
      <w:lang w:eastAsia="bg-BG"/>
    </w:rPr>
  </w:style>
  <w:style w:type="character" w:styleId="Emphasis">
    <w:name w:val="Emphasis"/>
    <w:basedOn w:val="DefaultParagraphFont"/>
    <w:uiPriority w:val="20"/>
    <w:qFormat/>
    <w:rsid w:val="00761D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0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968</Words>
  <Characters>5519</Characters>
  <Application>Microsoft Office Word</Application>
  <DocSecurity>0</DocSecurity>
  <Lines>45</Lines>
  <Paragraphs>12</Paragraphs>
  <ScaleCrop>false</ScaleCrop>
  <Company/>
  <LinksUpToDate>false</LinksUpToDate>
  <CharactersWithSpaces>6475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Ивелина Кирилова</dc:creator>
  <cp:keywords/>
  <dc:description/>
  <cp:lastModifiedBy>Ивелина Кирилова</cp:lastModifiedBy>
  <cp:revision>3</cp:revision>
  <dcterms:created xsi:type="dcterms:W3CDTF">2016-08-03T06:47:00Z</dcterms:created>
  <dcterms:modified xsi:type="dcterms:W3CDTF">2016-08-03T06:52:00Z</dcterms:modified>
</cp:coreProperties>
</file>